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08DC" w:rsidRDefault="00DE08DC">
      <w:pPr>
        <w:pStyle w:val="Title"/>
      </w:pPr>
      <w:r>
        <w:t>CITY OF BILOXI</w:t>
      </w:r>
    </w:p>
    <w:p w:rsidR="00DE08DC" w:rsidRDefault="00DE08DC">
      <w:pPr>
        <w:jc w:val="center"/>
        <w:rPr>
          <w:b/>
          <w:sz w:val="24"/>
        </w:rPr>
      </w:pPr>
    </w:p>
    <w:p w:rsidR="00DE08DC" w:rsidRDefault="00C023B3">
      <w:pPr>
        <w:rPr>
          <w:b/>
          <w:sz w:val="24"/>
        </w:rPr>
      </w:pPr>
      <w:r>
        <w:rPr>
          <w:b/>
          <w:sz w:val="24"/>
        </w:rPr>
        <w:t>SPECIAL PROVISION NO. 907-700-1</w:t>
      </w:r>
      <w:r w:rsidR="00DE08DC">
        <w:rPr>
          <w:b/>
          <w:sz w:val="24"/>
        </w:rPr>
        <w:t xml:space="preserve">                                                                  CODE</w:t>
      </w:r>
      <w:proofErr w:type="gramStart"/>
      <w:r w:rsidR="00DE08DC">
        <w:rPr>
          <w:b/>
          <w:sz w:val="24"/>
        </w:rPr>
        <w:t>:  (</w:t>
      </w:r>
      <w:proofErr w:type="gramEnd"/>
      <w:r w:rsidR="00DE08DC">
        <w:rPr>
          <w:b/>
          <w:sz w:val="24"/>
        </w:rPr>
        <w:t>SP)</w:t>
      </w:r>
    </w:p>
    <w:p w:rsidR="00DE08DC" w:rsidRDefault="00DE08DC">
      <w:pPr>
        <w:rPr>
          <w:b/>
          <w:sz w:val="24"/>
        </w:rPr>
      </w:pPr>
    </w:p>
    <w:p w:rsidR="00DE08DC" w:rsidRDefault="00C023B3">
      <w:pPr>
        <w:pStyle w:val="Heading1"/>
      </w:pPr>
      <w:r>
        <w:t xml:space="preserve">DATE:  </w:t>
      </w:r>
      <w:r w:rsidR="004F0222">
        <w:t>07</w:t>
      </w:r>
      <w:r w:rsidR="003B5B2E">
        <w:t>/</w:t>
      </w:r>
      <w:r w:rsidR="004F0222">
        <w:t>05</w:t>
      </w:r>
      <w:r w:rsidR="003B5B2E">
        <w:t>/</w:t>
      </w:r>
      <w:r w:rsidR="004F0222">
        <w:t>2017</w:t>
      </w:r>
    </w:p>
    <w:p w:rsidR="00DE08DC" w:rsidRDefault="00DE08DC">
      <w:pPr>
        <w:rPr>
          <w:b/>
          <w:sz w:val="24"/>
        </w:rPr>
      </w:pPr>
    </w:p>
    <w:p w:rsidR="00DE08DC" w:rsidRDefault="00C023B3" w:rsidP="004F0222">
      <w:pPr>
        <w:pStyle w:val="BodyText2"/>
        <w:ind w:left="1710" w:hanging="1710"/>
        <w:jc w:val="center"/>
      </w:pPr>
      <w:r>
        <w:t>SECTION 700</w:t>
      </w:r>
      <w:r w:rsidR="00DE08DC">
        <w:t xml:space="preserve"> – </w:t>
      </w:r>
      <w:r>
        <w:t>MATERIALS AND TESTS</w:t>
      </w:r>
    </w:p>
    <w:p w:rsidR="00C023B3" w:rsidRDefault="00C023B3">
      <w:pPr>
        <w:pStyle w:val="BodyText2"/>
        <w:ind w:left="1710" w:hanging="1710"/>
      </w:pPr>
    </w:p>
    <w:p w:rsidR="00C023B3" w:rsidRDefault="00297C7B">
      <w:pPr>
        <w:pStyle w:val="BodyText2"/>
        <w:ind w:left="1710" w:hanging="1710"/>
      </w:pPr>
      <w:r>
        <w:t>Subsection 700.</w:t>
      </w:r>
      <w:r w:rsidR="00BB4895">
        <w:t>0</w:t>
      </w:r>
      <w:bookmarkStart w:id="0" w:name="_GoBack"/>
      <w:bookmarkEnd w:id="0"/>
      <w:r>
        <w:t>3 – Sampling and Testing</w:t>
      </w:r>
    </w:p>
    <w:p w:rsidR="00297C7B" w:rsidRDefault="00297C7B">
      <w:pPr>
        <w:pStyle w:val="BodyText2"/>
        <w:ind w:left="1710" w:hanging="1710"/>
      </w:pPr>
    </w:p>
    <w:p w:rsidR="00297C7B" w:rsidRDefault="00297C7B" w:rsidP="00297C7B">
      <w:pPr>
        <w:pStyle w:val="BodyText2"/>
        <w:tabs>
          <w:tab w:val="left" w:pos="720"/>
        </w:tabs>
        <w:ind w:left="1710" w:hanging="1710"/>
        <w:rPr>
          <w:b w:val="0"/>
        </w:rPr>
      </w:pPr>
      <w:r>
        <w:rPr>
          <w:b w:val="0"/>
        </w:rPr>
        <w:tab/>
        <w:t>Delete the third paragraph of Subsection 700.03 and insert the following paragraphs:</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rPr>
          <w:b w:val="0"/>
        </w:rPr>
        <w:tab/>
      </w:r>
      <w:r>
        <w:rPr>
          <w:b w:val="0"/>
        </w:rPr>
        <w:tab/>
        <w:t>Material requiring specified tests used by a plant for producing composite material(s) or product(s) to be used in the work will be tested by the Contractor and approved by the City Engineer or his authorized representative.  If such materials, composite materials, or products are stored for the exclusive use in the work, the cost of testing will be done by the Contractor.</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rPr>
          <w:b w:val="0"/>
        </w:rPr>
        <w:tab/>
      </w:r>
      <w:r>
        <w:rPr>
          <w:b w:val="0"/>
        </w:rPr>
        <w:tab/>
        <w:t>The Contractor shall employ a testing laboratory to perform the necessary testing services required by the plans and specifications.  The testing laboratory shall be certified by the Mississippi Department of Transportation to perform testing on urban projects and is subject to approval by the City Engineer or his authorized representative.</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rPr>
          <w:b w:val="0"/>
        </w:rPr>
        <w:tab/>
      </w:r>
      <w:r>
        <w:rPr>
          <w:b w:val="0"/>
        </w:rPr>
        <w:tab/>
        <w:t>The City Engineer or his authorized representative reserves the right to request additional testing not shown on the “Testing and Submittal Requirements” list which may be necessary to show compliance with the plans and specifications.  The Contractor shall be responsible for all costs incurred for testing and testing services including costs for any additional tests required by the City Engineer or his authorized representative.</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rPr>
          <w:b w:val="0"/>
        </w:rPr>
        <w:tab/>
      </w:r>
      <w:r>
        <w:rPr>
          <w:b w:val="0"/>
        </w:rPr>
        <w:tab/>
        <w:t>Samples collected for granular material testing shall be taken from the roadway (or other placement areas) on the project sit, except for testing for source approval.  Precaution must be taken or prevent contamination with underlying material.  The City Engineer or his authorized representative shall determine the exact location for the sample to be collected.</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t>Subsection 700.0</w:t>
      </w:r>
      <w:r w:rsidR="004F0222">
        <w:t>4</w:t>
      </w:r>
      <w:r>
        <w:t xml:space="preserve"> – Determination of Conformity</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rPr>
          <w:b w:val="0"/>
        </w:rPr>
        <w:tab/>
        <w:t>Add the following sentences to the end of the second paragraph of Subsection 700.04:</w:t>
      </w:r>
    </w:p>
    <w:p w:rsidR="00297C7B" w:rsidRDefault="00297C7B" w:rsidP="00297C7B">
      <w:pPr>
        <w:pStyle w:val="BodyText2"/>
        <w:tabs>
          <w:tab w:val="left" w:pos="720"/>
        </w:tabs>
        <w:ind w:left="1710" w:hanging="1710"/>
        <w:rPr>
          <w:b w:val="0"/>
        </w:rPr>
      </w:pPr>
    </w:p>
    <w:p w:rsidR="00297C7B" w:rsidRDefault="00297C7B" w:rsidP="00297C7B">
      <w:pPr>
        <w:pStyle w:val="BodyText2"/>
        <w:tabs>
          <w:tab w:val="left" w:pos="720"/>
        </w:tabs>
        <w:ind w:left="1710" w:hanging="1710"/>
        <w:rPr>
          <w:b w:val="0"/>
        </w:rPr>
      </w:pPr>
      <w:r>
        <w:rPr>
          <w:b w:val="0"/>
        </w:rPr>
        <w:tab/>
      </w:r>
      <w:r>
        <w:rPr>
          <w:b w:val="0"/>
        </w:rPr>
        <w:tab/>
        <w:t>All density test results, excluding asphalt density tests, shall meet the 95% density as determined ASTM D1557 without any rounding of fractions.  The Contractor shall assume the costs of all retest on materials that do not meet the requirements of the contract.  Retests shall be performed until the material meets the required density.</w:t>
      </w:r>
    </w:p>
    <w:p w:rsidR="00297C7B" w:rsidRDefault="00297C7B" w:rsidP="00297C7B">
      <w:pPr>
        <w:pStyle w:val="BodyText2"/>
        <w:tabs>
          <w:tab w:val="left" w:pos="720"/>
        </w:tabs>
        <w:ind w:left="1710" w:hanging="1710"/>
        <w:rPr>
          <w:b w:val="0"/>
        </w:rPr>
      </w:pPr>
    </w:p>
    <w:p w:rsidR="00297C7B" w:rsidRPr="00297C7B" w:rsidRDefault="00297C7B" w:rsidP="00297C7B">
      <w:pPr>
        <w:pStyle w:val="BodyText2"/>
        <w:tabs>
          <w:tab w:val="left" w:pos="720"/>
        </w:tabs>
        <w:ind w:left="1710" w:hanging="1710"/>
        <w:rPr>
          <w:b w:val="0"/>
        </w:rPr>
      </w:pPr>
      <w:r>
        <w:rPr>
          <w:b w:val="0"/>
        </w:rPr>
        <w:tab/>
      </w:r>
      <w:r>
        <w:rPr>
          <w:b w:val="0"/>
        </w:rPr>
        <w:tab/>
        <w:t>If the City Engineer or his authorized representative determines that a soil sample has not been taken that represents the area, a new soil sample shall be taken from the area and the maximum density shall be obtained in accordance with ASTM D1557.  A new correlation shall be performed and densities shall be retaken for the area using the new information.</w:t>
      </w:r>
    </w:p>
    <w:p w:rsidR="00DE08DC" w:rsidRDefault="00C023B3">
      <w:pPr>
        <w:rPr>
          <w:sz w:val="24"/>
        </w:rPr>
      </w:pPr>
      <w:r>
        <w:rPr>
          <w:sz w:val="24"/>
        </w:rPr>
        <w:t xml:space="preserve"> </w:t>
      </w:r>
    </w:p>
    <w:sectPr w:rsidR="00DE08DC">
      <w:headerReference w:type="default" r:id="rId10"/>
      <w:footerReference w:type="default" r:id="rId11"/>
      <w:pgSz w:w="12240" w:h="15840" w:code="1"/>
      <w:pgMar w:top="72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1527" w:rsidRDefault="00DC1527">
      <w:r>
        <w:separator/>
      </w:r>
    </w:p>
  </w:endnote>
  <w:endnote w:type="continuationSeparator" w:id="0">
    <w:p w:rsidR="00DC1527" w:rsidRDefault="00DC1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2C3" w:rsidRDefault="00E552C3">
    <w:pPr>
      <w:pStyle w:val="Footer"/>
      <w:jc w:val="center"/>
      <w:rPr>
        <w:b/>
        <w:sz w:val="24"/>
      </w:rPr>
    </w:pPr>
    <w:r>
      <w:rPr>
        <w:b/>
        <w:sz w:val="24"/>
      </w:rPr>
      <w:t>______________________________________________________________________________</w:t>
    </w:r>
  </w:p>
  <w:p w:rsidR="00E552C3" w:rsidRDefault="00E552C3">
    <w:pPr>
      <w:pStyle w:val="Footer"/>
      <w:jc w:val="center"/>
      <w:rPr>
        <w:sz w:val="24"/>
      </w:rPr>
    </w:pPr>
    <w:r>
      <w:rPr>
        <w:sz w:val="24"/>
      </w:rPr>
      <w:t>Materials &amp; Tests</w:t>
    </w:r>
  </w:p>
  <w:p w:rsidR="00E552C3" w:rsidRDefault="00E552C3">
    <w:pPr>
      <w:pStyle w:val="Footer"/>
      <w:jc w:val="center"/>
      <w:rPr>
        <w:sz w:val="24"/>
      </w:rPr>
    </w:pPr>
    <w:r>
      <w:rPr>
        <w:sz w:val="24"/>
      </w:rPr>
      <w:t xml:space="preserve">Section </w:t>
    </w:r>
    <w:r w:rsidRPr="007F55F5">
      <w:rPr>
        <w:sz w:val="24"/>
      </w:rPr>
      <w:t>907-700-1</w:t>
    </w:r>
  </w:p>
  <w:p w:rsidR="00E552C3" w:rsidRDefault="00E552C3">
    <w:pPr>
      <w:pStyle w:val="Foot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BB4895">
      <w:rPr>
        <w:rStyle w:val="PageNumber"/>
        <w:noProof/>
        <w:sz w:val="24"/>
      </w:rPr>
      <w:t>1</w:t>
    </w:r>
    <w:r>
      <w:rPr>
        <w:rStyle w:val="PageNumber"/>
        <w:sz w:val="24"/>
      </w:rPr>
      <w:fldChar w:fldCharType="end"/>
    </w:r>
    <w:r>
      <w:rPr>
        <w:rStyle w:val="PageNumber"/>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BB4895">
      <w:rPr>
        <w:rStyle w:val="PageNumber"/>
        <w:noProof/>
        <w:sz w:val="24"/>
      </w:rPr>
      <w:t>2</w:t>
    </w:r>
    <w:r>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1527" w:rsidRDefault="00DC1527">
      <w:r>
        <w:separator/>
      </w:r>
    </w:p>
  </w:footnote>
  <w:footnote w:type="continuationSeparator" w:id="0">
    <w:p w:rsidR="00DC1527" w:rsidRDefault="00DC15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52C3" w:rsidRDefault="00E552C3">
    <w:pPr>
      <w:pStyle w:val="Header"/>
      <w:rPr>
        <w:b/>
      </w:rPr>
    </w:pPr>
    <w:r>
      <w:rPr>
        <w:b/>
      </w:rPr>
      <w:t>____________________________________________________________________________________________</w:t>
    </w:r>
  </w:p>
  <w:p w:rsidR="00E552C3" w:rsidRDefault="00E552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EE669B"/>
    <w:multiLevelType w:val="multilevel"/>
    <w:tmpl w:val="33361B94"/>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97E"/>
    <w:rsid w:val="00297C7B"/>
    <w:rsid w:val="003905F5"/>
    <w:rsid w:val="003B5B2E"/>
    <w:rsid w:val="004F0222"/>
    <w:rsid w:val="005B739C"/>
    <w:rsid w:val="007F55F5"/>
    <w:rsid w:val="00B859CC"/>
    <w:rsid w:val="00BB4895"/>
    <w:rsid w:val="00BE719A"/>
    <w:rsid w:val="00C023B3"/>
    <w:rsid w:val="00D51EA7"/>
    <w:rsid w:val="00D720C3"/>
    <w:rsid w:val="00DC1527"/>
    <w:rsid w:val="00DE08DC"/>
    <w:rsid w:val="00E0597E"/>
    <w:rsid w:val="00E552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E6605A"/>
  <w15:docId w15:val="{27492B32-3475-4B5B-9D81-A68960D2A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720"/>
      <w:outlineLvl w:val="1"/>
    </w:pPr>
    <w:rPr>
      <w:sz w:val="24"/>
    </w:rPr>
  </w:style>
  <w:style w:type="paragraph" w:styleId="Heading3">
    <w:name w:val="heading 3"/>
    <w:basedOn w:val="Normal"/>
    <w:next w:val="Normal"/>
    <w:qFormat/>
    <w:pPr>
      <w:keepNext/>
      <w:ind w:left="144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itle">
    <w:name w:val="Title"/>
    <w:basedOn w:val="Normal"/>
    <w:qFormat/>
    <w:pPr>
      <w:jc w:val="center"/>
    </w:pPr>
    <w:rPr>
      <w:b/>
      <w:sz w:val="24"/>
    </w:rPr>
  </w:style>
  <w:style w:type="paragraph" w:styleId="BodyText2">
    <w:name w:val="Body Text 2"/>
    <w:basedOn w:val="Normal"/>
    <w:pPr>
      <w:ind w:left="1350" w:hanging="1350"/>
    </w:pPr>
    <w:rPr>
      <w:b/>
      <w:sz w:val="24"/>
    </w:rPr>
  </w:style>
  <w:style w:type="paragraph" w:styleId="BodyTextIndent2">
    <w:name w:val="Body Text Indent 2"/>
    <w:basedOn w:val="Normal"/>
    <w:pPr>
      <w:ind w:left="2160"/>
    </w:pPr>
    <w:rPr>
      <w:sz w:val="24"/>
    </w:rPr>
  </w:style>
  <w:style w:type="paragraph" w:styleId="BodyTextIndent3">
    <w:name w:val="Body Text Indent 3"/>
    <w:basedOn w:val="Normal"/>
    <w:pPr>
      <w:ind w:left="1440"/>
    </w:pPr>
    <w:rPr>
      <w:sz w:val="24"/>
    </w:rPr>
  </w:style>
  <w:style w:type="paragraph" w:styleId="BalloonText">
    <w:name w:val="Balloon Text"/>
    <w:basedOn w:val="Normal"/>
    <w:link w:val="BalloonTextChar"/>
    <w:rsid w:val="00E552C3"/>
    <w:rPr>
      <w:rFonts w:ascii="Tahoma" w:hAnsi="Tahoma" w:cs="Tahoma"/>
      <w:sz w:val="16"/>
      <w:szCs w:val="16"/>
    </w:rPr>
  </w:style>
  <w:style w:type="character" w:customStyle="1" w:styleId="BalloonTextChar">
    <w:name w:val="Balloon Text Char"/>
    <w:basedOn w:val="DefaultParagraphFont"/>
    <w:link w:val="BalloonText"/>
    <w:rsid w:val="00E552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8920682-4A2F-4685-897D-8C0803112760}">
  <ds:schemaRefs>
    <ds:schemaRef ds:uri="http://schemas.microsoft.com/sharepoint/v3/contenttype/forms"/>
  </ds:schemaRefs>
</ds:datastoreItem>
</file>

<file path=customXml/itemProps2.xml><?xml version="1.0" encoding="utf-8"?>
<ds:datastoreItem xmlns:ds="http://schemas.openxmlformats.org/officeDocument/2006/customXml" ds:itemID="{0B933CE7-FAD1-40CD-A329-5B66B78D1B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8646AC0-1275-4699-AFE3-D0A71D0A8AFC}">
  <ds:schemaRefs>
    <ds:schemaRef ds:uri="http://schemas.microsoft.com/office/2006/metadata/properties"/>
    <ds:schemaRef ds:uri="http://schemas.microsoft.com/office/2006/documentManagement/types"/>
    <ds:schemaRef ds:uri="http://www.w3.org/XML/1998/namespace"/>
    <ds:schemaRef ds:uri="http://purl.org/dc/terms/"/>
    <ds:schemaRef ds:uri="http://purl.org/dc/dcmitype/"/>
    <ds:schemaRef ds:uri="http://schemas.openxmlformats.org/package/2006/metadata/core-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399</Words>
  <Characters>2277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2671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4</cp:revision>
  <cp:lastPrinted>2010-09-24T15:00:00Z</cp:lastPrinted>
  <dcterms:created xsi:type="dcterms:W3CDTF">2017-07-05T15:59:00Z</dcterms:created>
  <dcterms:modified xsi:type="dcterms:W3CDTF">2017-07-07T22:03:00Z</dcterms:modified>
</cp:coreProperties>
</file>